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04E44">
        <w:rPr>
          <w:rFonts w:ascii="Arial" w:hAnsi="Arial" w:cs="Arial"/>
          <w:b/>
          <w:sz w:val="24"/>
          <w:lang w:val="en-US" w:eastAsia="zh-CN"/>
        </w:rPr>
        <w:t>7</w:t>
      </w:r>
      <w:r w:rsidRPr="005E5BB3">
        <w:rPr>
          <w:rFonts w:ascii="Arial" w:hAnsi="Arial" w:cs="Arial"/>
          <w:b/>
          <w:i/>
          <w:sz w:val="24"/>
          <w:lang w:eastAsia="zh-CN"/>
        </w:rPr>
        <w:tab/>
      </w:r>
      <w:r w:rsidR="00053700" w:rsidRPr="00053700">
        <w:rPr>
          <w:rFonts w:ascii="Arial" w:hAnsi="Arial" w:cs="Arial"/>
          <w:b/>
          <w:sz w:val="24"/>
          <w:lang w:val="en-US" w:eastAsia="zh-CN"/>
        </w:rPr>
        <w:t>R4-2308420</w:t>
      </w:r>
      <w:bookmarkStart w:id="0" w:name="_GoBack"/>
      <w:bookmarkEnd w:id="0"/>
    </w:p>
    <w:p w:rsidR="00070561" w:rsidRPr="00FE6037" w:rsidRDefault="008D6F6F" w:rsidP="003B7C18">
      <w:pPr>
        <w:pStyle w:val="a3"/>
        <w:tabs>
          <w:tab w:val="right" w:pos="9781"/>
          <w:tab w:val="right" w:pos="13323"/>
        </w:tabs>
        <w:spacing w:before="120" w:after="120"/>
        <w:jc w:val="both"/>
        <w:outlineLvl w:val="0"/>
        <w:rPr>
          <w:noProof w:val="0"/>
        </w:rPr>
      </w:pPr>
      <w:r w:rsidRPr="008D6F6F">
        <w:rPr>
          <w:rFonts w:cs="Arial"/>
          <w:noProof w:val="0"/>
          <w:sz w:val="24"/>
        </w:rPr>
        <w:t>Incheon, KR, May 22-26, 2023</w:t>
      </w:r>
      <w:r w:rsidR="00587D21">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F2AF5">
        <w:rPr>
          <w:rFonts w:ascii="Arial" w:eastAsia="宋体" w:hAnsi="Arial"/>
          <w:b/>
          <w:sz w:val="24"/>
          <w:lang w:val="en-US" w:eastAsia="zh-CN"/>
        </w:rPr>
        <w:t>On Redcap</w:t>
      </w:r>
      <w:r w:rsidR="006B1505">
        <w:rPr>
          <w:rFonts w:ascii="Arial" w:eastAsia="宋体" w:hAnsi="Arial"/>
          <w:b/>
          <w:sz w:val="24"/>
          <w:lang w:val="en-US" w:eastAsia="zh-CN"/>
        </w:rPr>
        <w:t xml:space="preserve"> RRM</w:t>
      </w:r>
      <w:r w:rsidR="00AF2AF5">
        <w:rPr>
          <w:rFonts w:ascii="Arial" w:eastAsia="宋体" w:hAnsi="Arial"/>
          <w:b/>
          <w:sz w:val="24"/>
          <w:lang w:val="en-US" w:eastAsia="zh-CN"/>
        </w:rPr>
        <w:t xml:space="preserve"> maintenance</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804E44">
        <w:rPr>
          <w:rFonts w:ascii="Arial" w:eastAsia="宋体" w:hAnsi="Arial"/>
          <w:b/>
          <w:sz w:val="24"/>
          <w:lang w:val="en-US" w:eastAsia="zh-CN"/>
        </w:rPr>
        <w:t>vivo</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F2AF5">
        <w:rPr>
          <w:rFonts w:ascii="Arial" w:hAnsi="Arial"/>
          <w:b/>
          <w:sz w:val="24"/>
          <w:lang w:val="en-US"/>
        </w:rPr>
        <w:t>5.2.5.2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F2AF5">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E7A02" w:rsidRPr="00D12E24" w:rsidRDefault="00AF2AF5" w:rsidP="00D12E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The remaining issues for Rel-17 Redcap WI was discussed at R</w:t>
      </w:r>
      <w:r>
        <w:rPr>
          <w:rFonts w:eastAsia="宋体" w:hint="eastAsia"/>
          <w:lang w:eastAsia="zh-CN"/>
        </w:rPr>
        <w:t>AN</w:t>
      </w:r>
      <w:r w:rsidRPr="00AF2AF5">
        <w:rPr>
          <w:rFonts w:eastAsia="宋体" w:hint="eastAsia"/>
          <w:lang w:eastAsia="zh-CN"/>
        </w:rPr>
        <w:t>4</w:t>
      </w:r>
      <w:r w:rsidRPr="00AF2AF5">
        <w:rPr>
          <w:rFonts w:eastAsia="宋体"/>
          <w:lang w:eastAsia="zh-CN"/>
        </w:rPr>
        <w:t xml:space="preserve"> 106 meeting</w:t>
      </w:r>
      <w:r>
        <w:rPr>
          <w:rFonts w:eastAsia="宋体"/>
          <w:lang w:eastAsia="zh-CN"/>
        </w:rPr>
        <w:t xml:space="preserve"> and the WF is [1]. This contribution provides our further considerations on remaining issues for Redcap. </w:t>
      </w:r>
    </w:p>
    <w:p w:rsidR="00FA0C0C" w:rsidRDefault="00FA0C0C" w:rsidP="00FA0C0C">
      <w:pPr>
        <w:pStyle w:val="1"/>
        <w:jc w:val="both"/>
        <w:rPr>
          <w:lang w:val="en-US"/>
        </w:rPr>
      </w:pPr>
      <w:r>
        <w:rPr>
          <w:lang w:val="en-US"/>
        </w:rPr>
        <w:t>Discussion</w:t>
      </w:r>
    </w:p>
    <w:p w:rsidR="00A0278A" w:rsidRPr="00C46DD2" w:rsidRDefault="00A0278A" w:rsidP="00A0278A">
      <w:pPr>
        <w:pStyle w:val="3"/>
        <w:numPr>
          <w:ilvl w:val="0"/>
          <w:numId w:val="0"/>
        </w:numPr>
        <w:ind w:left="720" w:hanging="720"/>
        <w:rPr>
          <w:sz w:val="24"/>
          <w:szCs w:val="16"/>
          <w:lang w:val="en-US"/>
        </w:rPr>
      </w:pPr>
      <w:r w:rsidRPr="00C46DD2">
        <w:rPr>
          <w:sz w:val="24"/>
          <w:szCs w:val="16"/>
          <w:lang w:val="en-US"/>
        </w:rPr>
        <w:t>Mobility procedures with NCD-SSBs</w:t>
      </w:r>
    </w:p>
    <w:p w:rsidR="00A0278A" w:rsidRPr="00F14550" w:rsidRDefault="00A0278A" w:rsidP="00A0278A">
      <w:pPr>
        <w:spacing w:before="120" w:after="120"/>
        <w:rPr>
          <w:b/>
          <w:color w:val="0070C0"/>
          <w:u w:val="single"/>
          <w:lang w:eastAsia="ko-KR"/>
        </w:rPr>
      </w:pPr>
      <w:r w:rsidRPr="00BD5CF4">
        <w:rPr>
          <w:b/>
          <w:color w:val="0070C0"/>
          <w:u w:val="single"/>
          <w:lang w:eastAsia="ko-KR"/>
        </w:rPr>
        <w:t>Handover</w:t>
      </w:r>
      <w:r w:rsidRPr="006A3FFD">
        <w:rPr>
          <w:b/>
          <w:color w:val="0070C0"/>
          <w:u w:val="single"/>
          <w:lang w:eastAsia="ko-KR"/>
        </w:rPr>
        <w:t xml:space="preserve"> to a BWP with unmeasured SSB of a known cell</w:t>
      </w:r>
    </w:p>
    <w:p w:rsidR="00A0278A" w:rsidRPr="006A3FFD" w:rsidRDefault="00A0278A" w:rsidP="00A0278A">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No conclusion on whether to add following condition on Tx power of the SSB of the target and measured SSBs:</w:t>
      </w:r>
    </w:p>
    <w:p w:rsidR="00A0278A" w:rsidRPr="006A3FFD" w:rsidRDefault="00A0278A" w:rsidP="00A0278A">
      <w:pPr>
        <w:pStyle w:val="afe"/>
        <w:numPr>
          <w:ilvl w:val="1"/>
          <w:numId w:val="15"/>
        </w:numPr>
        <w:spacing w:beforeLines="0" w:before="120" w:afterLines="0" w:after="120"/>
        <w:ind w:left="1440"/>
        <w:rPr>
          <w:rFonts w:eastAsia="宋体"/>
          <w:color w:val="000000" w:themeColor="text1"/>
          <w:lang w:eastAsia="zh-CN"/>
        </w:rPr>
      </w:pPr>
      <w:r w:rsidRPr="006A3FFD">
        <w:rPr>
          <w:rFonts w:eastAsia="宋体"/>
          <w:color w:val="0070C0"/>
          <w:lang w:eastAsia="zh-CN"/>
        </w:rPr>
        <w:t xml:space="preserve">Option 1: </w:t>
      </w:r>
      <w:r w:rsidRPr="006A3FFD">
        <w:rPr>
          <w:rFonts w:eastAsia="宋体"/>
          <w:color w:val="000000" w:themeColor="text1"/>
          <w:lang w:eastAsia="zh-CN"/>
        </w:rPr>
        <w:t>Add condition on assumption on the TX power of the SSB of the target SSB and measured SSB as follows (</w:t>
      </w:r>
      <w:r>
        <w:rPr>
          <w:rFonts w:eastAsia="宋体"/>
          <w:color w:val="000000" w:themeColor="text1"/>
          <w:lang w:eastAsia="zh-CN"/>
        </w:rPr>
        <w:t xml:space="preserve">underlined </w:t>
      </w:r>
      <w:r w:rsidRPr="006A3FFD">
        <w:rPr>
          <w:rFonts w:eastAsia="宋体"/>
          <w:color w:val="000000" w:themeColor="text1"/>
          <w:lang w:eastAsia="zh-CN"/>
        </w:rPr>
        <w:t>highlighted text is the addition to previous agreement).</w:t>
      </w:r>
    </w:p>
    <w:p w:rsidR="00A0278A" w:rsidRPr="00400120" w:rsidRDefault="00A0278A" w:rsidP="00A0278A">
      <w:pPr>
        <w:pStyle w:val="afe"/>
        <w:numPr>
          <w:ilvl w:val="2"/>
          <w:numId w:val="15"/>
        </w:numPr>
        <w:spacing w:beforeLines="0" w:before="120" w:afterLines="0" w:after="120"/>
        <w:contextualSpacing/>
        <w:rPr>
          <w:lang w:eastAsia="zh-CN"/>
        </w:rPr>
      </w:pPr>
      <w:r w:rsidRPr="00400120">
        <w:rPr>
          <w:lang w:eastAsia="zh-CN"/>
        </w:rPr>
        <w:t xml:space="preserve">For the case when the UE performs measurement on </w:t>
      </w:r>
      <w:proofErr w:type="gramStart"/>
      <w:r w:rsidRPr="00400120">
        <w:rPr>
          <w:lang w:eastAsia="zh-CN"/>
        </w:rPr>
        <w:t>a</w:t>
      </w:r>
      <w:proofErr w:type="gramEnd"/>
      <w:r w:rsidRPr="00400120">
        <w:rPr>
          <w:lang w:eastAsia="zh-CN"/>
        </w:rPr>
        <w:t xml:space="preserve"> SSB and handover to a BWP with un-measured SSB, the following apply:</w:t>
      </w:r>
    </w:p>
    <w:p w:rsidR="00A0278A" w:rsidRPr="00400120" w:rsidRDefault="00A0278A" w:rsidP="00A0278A">
      <w:pPr>
        <w:pStyle w:val="afe"/>
        <w:numPr>
          <w:ilvl w:val="3"/>
          <w:numId w:val="15"/>
        </w:numPr>
        <w:spacing w:beforeLines="0" w:before="120" w:afterLines="0" w:after="120"/>
        <w:contextualSpacing/>
        <w:rPr>
          <w:lang w:eastAsia="zh-CN"/>
        </w:rPr>
      </w:pPr>
      <w:r w:rsidRPr="00400120">
        <w:rPr>
          <w:lang w:eastAsia="zh-CN"/>
        </w:rPr>
        <w:t xml:space="preserve">The requirements apply for the scenario where the measured SSB and the SSB in the target BWP for HO belong to the same target cell, </w:t>
      </w:r>
      <w:r w:rsidRPr="00400120">
        <w:rPr>
          <w:u w:val="single"/>
          <w:lang w:eastAsia="zh-CN"/>
        </w:rPr>
        <w:t xml:space="preserve">i.e., they share the same </w:t>
      </w:r>
      <w:proofErr w:type="spellStart"/>
      <w:r w:rsidRPr="00400120">
        <w:rPr>
          <w:u w:val="single"/>
          <w:lang w:eastAsia="zh-CN"/>
        </w:rPr>
        <w:t>physCellID</w:t>
      </w:r>
      <w:proofErr w:type="spellEnd"/>
      <w:r w:rsidRPr="00400120">
        <w:rPr>
          <w:u w:val="single"/>
          <w:lang w:eastAsia="zh-CN"/>
        </w:rPr>
        <w:t xml:space="preserve"> (PCI)</w:t>
      </w:r>
    </w:p>
    <w:p w:rsidR="00A0278A" w:rsidRPr="00400120" w:rsidRDefault="00A0278A" w:rsidP="00A0278A">
      <w:pPr>
        <w:pStyle w:val="afe"/>
        <w:numPr>
          <w:ilvl w:val="3"/>
          <w:numId w:val="15"/>
        </w:numPr>
        <w:spacing w:beforeLines="0" w:before="120" w:afterLines="0" w:after="120"/>
        <w:contextualSpacing/>
        <w:rPr>
          <w:highlight w:val="yellow"/>
          <w:u w:val="single"/>
          <w:lang w:eastAsia="zh-CN"/>
        </w:rPr>
      </w:pPr>
      <w:r w:rsidRPr="00400120">
        <w:rPr>
          <w:highlight w:val="yellow"/>
          <w:u w:val="single"/>
          <w:lang w:eastAsia="zh-CN"/>
        </w:rPr>
        <w:t>UE may assume that the TX power of the SSB of the target cell’s active BWP is same as that of the measured SSBs that belong to the same PCI</w:t>
      </w:r>
    </w:p>
    <w:p w:rsidR="00A0278A" w:rsidRPr="00400120" w:rsidRDefault="00A0278A" w:rsidP="00A0278A">
      <w:pPr>
        <w:pStyle w:val="afe"/>
        <w:numPr>
          <w:ilvl w:val="2"/>
          <w:numId w:val="15"/>
        </w:numPr>
        <w:spacing w:beforeLines="0" w:before="120" w:afterLines="0" w:after="120"/>
        <w:contextualSpacing/>
        <w:rPr>
          <w:lang w:eastAsia="zh-CN"/>
        </w:rPr>
      </w:pPr>
      <w:r w:rsidRPr="00400120">
        <w:rPr>
          <w:lang w:eastAsia="zh-CN"/>
        </w:rPr>
        <w:t xml:space="preserve">Note: the above agreement is for </w:t>
      </w:r>
      <w:proofErr w:type="spellStart"/>
      <w:r w:rsidRPr="00400120">
        <w:rPr>
          <w:lang w:eastAsia="zh-CN"/>
        </w:rPr>
        <w:t>RedCap</w:t>
      </w:r>
      <w:proofErr w:type="spellEnd"/>
      <w:r w:rsidRPr="00400120">
        <w:rPr>
          <w:lang w:eastAsia="zh-CN"/>
        </w:rPr>
        <w:t xml:space="preserve">, where the measured SSB and the target SSB for HO of the same target cell are: </w:t>
      </w:r>
    </w:p>
    <w:p w:rsidR="00A0278A" w:rsidRPr="00400120" w:rsidRDefault="00A0278A" w:rsidP="00A0278A">
      <w:pPr>
        <w:pStyle w:val="afe"/>
        <w:numPr>
          <w:ilvl w:val="3"/>
          <w:numId w:val="15"/>
        </w:numPr>
        <w:spacing w:beforeLines="0" w:before="120" w:afterLines="0" w:after="120"/>
        <w:contextualSpacing/>
        <w:rPr>
          <w:lang w:eastAsia="zh-CN"/>
        </w:rPr>
      </w:pPr>
      <w:r w:rsidRPr="00400120">
        <w:rPr>
          <w:lang w:eastAsia="zh-CN"/>
        </w:rPr>
        <w:t>NCD-SSB and NCD-SSB, respectively</w:t>
      </w:r>
    </w:p>
    <w:p w:rsidR="00A0278A" w:rsidRPr="00067088" w:rsidRDefault="00A0278A" w:rsidP="00A0278A">
      <w:pPr>
        <w:pStyle w:val="afe"/>
        <w:numPr>
          <w:ilvl w:val="3"/>
          <w:numId w:val="15"/>
        </w:numPr>
        <w:spacing w:beforeLines="0" w:before="120" w:afterLines="0" w:after="120"/>
        <w:contextualSpacing/>
        <w:rPr>
          <w:lang w:eastAsia="zh-CN"/>
        </w:rPr>
      </w:pPr>
      <w:r w:rsidRPr="00067088">
        <w:rPr>
          <w:lang w:eastAsia="zh-CN"/>
        </w:rPr>
        <w:t>CD-SSB and NCD-SSB, respectively</w:t>
      </w:r>
    </w:p>
    <w:p w:rsidR="00A0278A" w:rsidRPr="00067088" w:rsidRDefault="00A0278A" w:rsidP="00A0278A">
      <w:pPr>
        <w:pStyle w:val="afe"/>
        <w:numPr>
          <w:ilvl w:val="3"/>
          <w:numId w:val="15"/>
        </w:numPr>
        <w:spacing w:beforeLines="0" w:before="120" w:afterLines="0" w:after="120"/>
        <w:contextualSpacing/>
        <w:rPr>
          <w:lang w:eastAsia="zh-CN"/>
        </w:rPr>
      </w:pPr>
      <w:r w:rsidRPr="00067088">
        <w:rPr>
          <w:lang w:eastAsia="zh-CN"/>
        </w:rPr>
        <w:t>NCD-SSB and CD-SSB, respectively</w:t>
      </w:r>
    </w:p>
    <w:p w:rsidR="00A0278A" w:rsidRPr="00067088" w:rsidRDefault="00A0278A" w:rsidP="00A0278A">
      <w:pPr>
        <w:pStyle w:val="afe"/>
        <w:numPr>
          <w:ilvl w:val="2"/>
          <w:numId w:val="15"/>
        </w:numPr>
        <w:spacing w:beforeLines="0" w:before="120" w:afterLines="0" w:after="120"/>
        <w:contextualSpacing/>
        <w:rPr>
          <w:lang w:eastAsia="zh-CN"/>
        </w:rPr>
      </w:pPr>
      <w:r w:rsidRPr="00067088">
        <w:rPr>
          <w:lang w:eastAsia="zh-CN"/>
        </w:rPr>
        <w:t>One additional sample is needed for known inter-frequency handover.</w:t>
      </w:r>
    </w:p>
    <w:p w:rsidR="00A0278A" w:rsidRPr="00067088" w:rsidRDefault="00A0278A" w:rsidP="00A0278A">
      <w:pPr>
        <w:pStyle w:val="afe"/>
        <w:spacing w:before="120" w:after="120"/>
        <w:ind w:left="1440"/>
        <w:rPr>
          <w:rFonts w:eastAsia="宋体"/>
          <w:color w:val="000000" w:themeColor="text1"/>
          <w:lang w:eastAsia="zh-CN"/>
        </w:rPr>
      </w:pPr>
    </w:p>
    <w:p w:rsidR="00744094" w:rsidRDefault="00535E97" w:rsidP="00B837E3">
      <w:pPr>
        <w:spacing w:before="120" w:after="120"/>
        <w:jc w:val="both"/>
        <w:rPr>
          <w:lang w:eastAsia="zh-CN"/>
        </w:rPr>
      </w:pPr>
      <w:r>
        <w:rPr>
          <w:color w:val="000000" w:themeColor="text1"/>
          <w:szCs w:val="24"/>
          <w:lang w:eastAsia="zh-CN"/>
        </w:rPr>
        <w:t>To our understanding the scenario is</w:t>
      </w:r>
      <w:r w:rsidR="00B837E3">
        <w:rPr>
          <w:color w:val="000000" w:themeColor="text1"/>
          <w:szCs w:val="24"/>
          <w:lang w:eastAsia="zh-CN"/>
        </w:rPr>
        <w:t xml:space="preserve"> two neighbour cells have the same PCI and the handover command triggers a UE handover to </w:t>
      </w:r>
      <w:proofErr w:type="gramStart"/>
      <w:r w:rsidR="00B837E3">
        <w:rPr>
          <w:color w:val="000000" w:themeColor="text1"/>
          <w:szCs w:val="24"/>
          <w:lang w:eastAsia="zh-CN"/>
        </w:rPr>
        <w:t>a</w:t>
      </w:r>
      <w:proofErr w:type="gramEnd"/>
      <w:r w:rsidR="00B837E3">
        <w:rPr>
          <w:color w:val="000000" w:themeColor="text1"/>
          <w:szCs w:val="24"/>
          <w:lang w:eastAsia="zh-CN"/>
        </w:rPr>
        <w:t xml:space="preserve"> NCD-SSB has not been measured before and there is another NCD-SSB has been measured by that UE however it is not the target for the handover. In this case the UE will use the measured data to prepare handover since that UE cannot differentiate different SSB with same PCI.</w:t>
      </w:r>
      <w:r w:rsidR="00386DD9">
        <w:rPr>
          <w:color w:val="000000" w:themeColor="text1"/>
          <w:szCs w:val="24"/>
          <w:lang w:eastAsia="zh-CN"/>
        </w:rPr>
        <w:t xml:space="preserve"> The issue is this scenario has already been classified to the case “handover to known cell” however the</w:t>
      </w:r>
      <w:r w:rsidR="00386DD9">
        <w:rPr>
          <w:lang w:eastAsia="zh-CN"/>
        </w:rPr>
        <w:t xml:space="preserve"> Tx power could still be different for different cells (with the same PCI), hence the measurement results will differ and if a UE uses results of another cell other than the target cell for handover command, handover failure could </w:t>
      </w:r>
      <w:proofErr w:type="gramStart"/>
      <w:r w:rsidR="00386DD9">
        <w:rPr>
          <w:lang w:eastAsia="zh-CN"/>
        </w:rPr>
        <w:t>occurs</w:t>
      </w:r>
      <w:proofErr w:type="gramEnd"/>
      <w:r w:rsidR="00386DD9">
        <w:rPr>
          <w:lang w:eastAsia="zh-CN"/>
        </w:rPr>
        <w:t xml:space="preserve">. </w:t>
      </w:r>
      <w:r w:rsidR="00744094">
        <w:rPr>
          <w:lang w:eastAsia="zh-CN"/>
        </w:rPr>
        <w:t xml:space="preserve">From our understanding this scenario maybe </w:t>
      </w:r>
      <w:proofErr w:type="gramStart"/>
      <w:r w:rsidR="00744094">
        <w:rPr>
          <w:lang w:eastAsia="zh-CN"/>
        </w:rPr>
        <w:t>not</w:t>
      </w:r>
      <w:proofErr w:type="gramEnd"/>
      <w:r w:rsidR="00744094">
        <w:rPr>
          <w:lang w:eastAsia="zh-CN"/>
        </w:rPr>
        <w:t xml:space="preserve"> a typical case for handover however to guarantee performance, it is ok to add further constraints on the UE’s assumption on the TX power. </w:t>
      </w:r>
    </w:p>
    <w:p w:rsidR="00744094" w:rsidRPr="00744094" w:rsidRDefault="00744094" w:rsidP="00744094">
      <w:pPr>
        <w:spacing w:beforeLines="0" w:before="120" w:afterLines="0" w:after="120"/>
        <w:contextualSpacing/>
        <w:rPr>
          <w:b/>
          <w:lang w:eastAsia="zh-CN"/>
        </w:rPr>
      </w:pPr>
      <w:r w:rsidRPr="00744094">
        <w:rPr>
          <w:b/>
          <w:lang w:eastAsia="zh-CN"/>
        </w:rPr>
        <w:t xml:space="preserve">Proposal 1: </w:t>
      </w:r>
      <w:r w:rsidR="00386DD9" w:rsidRPr="00744094">
        <w:rPr>
          <w:b/>
          <w:lang w:eastAsia="zh-CN"/>
        </w:rPr>
        <w:t xml:space="preserve"> </w:t>
      </w:r>
      <w:r w:rsidRPr="00744094">
        <w:rPr>
          <w:b/>
          <w:lang w:eastAsia="zh-CN"/>
        </w:rPr>
        <w:t>Handover to a BWP with unmeasured SSB of a known cell, ok to</w:t>
      </w:r>
      <w:r>
        <w:rPr>
          <w:b/>
          <w:lang w:eastAsia="zh-CN"/>
        </w:rPr>
        <w:t xml:space="preserve"> add the conditions that “</w:t>
      </w:r>
      <w:r w:rsidRPr="00744094">
        <w:rPr>
          <w:b/>
          <w:lang w:eastAsia="zh-CN"/>
        </w:rPr>
        <w:t>UE may assume that the TX power of the SSB of the target cell’s active BWP is same as that of the measured SSBs that belong to the same PCI</w:t>
      </w:r>
      <w:r>
        <w:rPr>
          <w:b/>
          <w:lang w:eastAsia="zh-CN"/>
        </w:rPr>
        <w:t>”.</w:t>
      </w:r>
    </w:p>
    <w:p w:rsidR="00744094" w:rsidRPr="00744094" w:rsidRDefault="00744094" w:rsidP="00744094">
      <w:pPr>
        <w:spacing w:before="120" w:after="120"/>
        <w:rPr>
          <w:b/>
          <w:color w:val="0070C0"/>
          <w:u w:val="single"/>
          <w:lang w:val="en-US" w:eastAsia="ko-KR"/>
        </w:rPr>
      </w:pPr>
    </w:p>
    <w:p w:rsidR="00B837E3" w:rsidRPr="00744094" w:rsidRDefault="00B837E3" w:rsidP="00B837E3">
      <w:pPr>
        <w:spacing w:before="120" w:after="120"/>
        <w:jc w:val="both"/>
        <w:rPr>
          <w:lang w:eastAsia="zh-CN"/>
        </w:rPr>
      </w:pPr>
    </w:p>
    <w:p w:rsidR="00A0278A" w:rsidRDefault="00A0278A" w:rsidP="00A0278A">
      <w:pPr>
        <w:spacing w:before="120" w:after="120"/>
        <w:rPr>
          <w:b/>
          <w:color w:val="0070C0"/>
          <w:u w:val="single"/>
          <w:lang w:eastAsia="ko-KR"/>
        </w:rPr>
      </w:pPr>
      <w:r w:rsidRPr="00BD5CF4">
        <w:rPr>
          <w:b/>
          <w:color w:val="0070C0"/>
          <w:u w:val="single"/>
          <w:lang w:eastAsia="ko-KR"/>
        </w:rPr>
        <w:t>Revision</w:t>
      </w:r>
      <w:r>
        <w:rPr>
          <w:b/>
          <w:color w:val="0070C0"/>
          <w:u w:val="single"/>
          <w:lang w:eastAsia="ko-KR"/>
        </w:rPr>
        <w:t xml:space="preserve"> of the intra/inter-frequency definition in h</w:t>
      </w:r>
      <w:r w:rsidRPr="006A3FFD">
        <w:rPr>
          <w:b/>
          <w:color w:val="0070C0"/>
          <w:u w:val="single"/>
          <w:lang w:eastAsia="ko-KR"/>
        </w:rPr>
        <w:t>andove</w:t>
      </w:r>
      <w:r>
        <w:rPr>
          <w:b/>
          <w:color w:val="0070C0"/>
          <w:u w:val="single"/>
          <w:lang w:eastAsia="ko-KR"/>
        </w:rPr>
        <w:t>r</w:t>
      </w:r>
    </w:p>
    <w:p w:rsidR="00A0278A" w:rsidRPr="006A3FFD" w:rsidRDefault="00A0278A" w:rsidP="00A0278A">
      <w:pPr>
        <w:pStyle w:val="afe"/>
        <w:numPr>
          <w:ilvl w:val="0"/>
          <w:numId w:val="15"/>
        </w:numPr>
        <w:spacing w:beforeLines="0" w:before="120" w:afterLines="0" w:after="120"/>
        <w:ind w:left="720"/>
        <w:rPr>
          <w:rFonts w:eastAsia="宋体"/>
          <w:color w:val="0070C0"/>
          <w:lang w:eastAsia="zh-CN"/>
        </w:rPr>
      </w:pPr>
      <w:r>
        <w:rPr>
          <w:rFonts w:eastAsia="宋体"/>
          <w:color w:val="0070C0"/>
          <w:lang w:eastAsia="zh-CN"/>
        </w:rPr>
        <w:t>FFS on whether to add following clarification to handover requirement:</w:t>
      </w:r>
    </w:p>
    <w:p w:rsidR="00A0278A" w:rsidRPr="004F7DA2" w:rsidRDefault="00A0278A" w:rsidP="00A0278A">
      <w:pPr>
        <w:pStyle w:val="afe"/>
        <w:numPr>
          <w:ilvl w:val="1"/>
          <w:numId w:val="15"/>
        </w:numPr>
        <w:spacing w:beforeLines="0" w:before="120" w:afterLines="0" w:after="120"/>
        <w:ind w:left="1440"/>
        <w:rPr>
          <w:rFonts w:eastAsia="宋体"/>
          <w:color w:val="000000" w:themeColor="text1"/>
          <w:lang w:eastAsia="zh-CN"/>
        </w:rPr>
      </w:pPr>
      <w:r w:rsidRPr="004F7DA2">
        <w:rPr>
          <w:lang w:eastAsia="zh-CN"/>
        </w:rPr>
        <w:t xml:space="preserve">Handover for a </w:t>
      </w:r>
      <w:proofErr w:type="spellStart"/>
      <w:r w:rsidRPr="004F7DA2">
        <w:rPr>
          <w:lang w:eastAsia="zh-CN"/>
        </w:rPr>
        <w:t>RedCap</w:t>
      </w:r>
      <w:proofErr w:type="spellEnd"/>
      <w:r w:rsidRPr="004F7DA2">
        <w:rPr>
          <w:lang w:eastAsia="zh-CN"/>
        </w:rPr>
        <w:t xml:space="preserve"> UE is defined as intra-frequency handover if the center frequency and subcarrier spacing (SCS) of the </w:t>
      </w:r>
      <w:r w:rsidRPr="004F7DA2">
        <w:rPr>
          <w:u w:val="single"/>
          <w:lang w:eastAsia="zh-CN"/>
        </w:rPr>
        <w:t xml:space="preserve">reference SSB of the serving cell </w:t>
      </w:r>
      <w:r w:rsidRPr="004F7DA2">
        <w:rPr>
          <w:lang w:eastAsia="zh-CN"/>
        </w:rPr>
        <w:t xml:space="preserve">is same as the center frequency and SCS of the </w:t>
      </w:r>
      <w:r w:rsidRPr="004F7DA2">
        <w:rPr>
          <w:u w:val="single"/>
          <w:lang w:eastAsia="zh-CN"/>
        </w:rPr>
        <w:t>reference SSB of the target cell,</w:t>
      </w:r>
      <w:r w:rsidRPr="004F7DA2">
        <w:rPr>
          <w:lang w:eastAsia="zh-CN"/>
        </w:rPr>
        <w:t xml:space="preserve"> where:</w:t>
      </w:r>
    </w:p>
    <w:p w:rsidR="00A0278A" w:rsidRPr="004F7DA2" w:rsidRDefault="00A0278A" w:rsidP="00A0278A">
      <w:pPr>
        <w:pStyle w:val="afe"/>
        <w:numPr>
          <w:ilvl w:val="2"/>
          <w:numId w:val="45"/>
        </w:numPr>
        <w:spacing w:beforeLines="0" w:before="120" w:afterLines="0" w:after="120"/>
        <w:contextualSpacing/>
        <w:rPr>
          <w:lang w:eastAsia="zh-CN"/>
        </w:rPr>
      </w:pPr>
      <w:r>
        <w:rPr>
          <w:lang w:eastAsia="zh-CN"/>
        </w:rPr>
        <w:t xml:space="preserve">Option 1a: </w:t>
      </w:r>
      <w:r w:rsidRPr="004F7DA2">
        <w:rPr>
          <w:lang w:eastAsia="zh-CN"/>
        </w:rPr>
        <w:t xml:space="preserve">The reference SSB of the serving cell is the SSB configured in the </w:t>
      </w:r>
      <w:r w:rsidRPr="004F7DA2">
        <w:rPr>
          <w:i/>
          <w:iCs/>
          <w:lang w:eastAsia="zh-CN"/>
        </w:rPr>
        <w:t>BWP-specific</w:t>
      </w:r>
      <w:r w:rsidRPr="004F7DA2">
        <w:rPr>
          <w:lang w:eastAsia="zh-CN"/>
        </w:rPr>
        <w:t xml:space="preserve"> </w:t>
      </w:r>
      <w:proofErr w:type="spellStart"/>
      <w:r w:rsidRPr="004F7DA2">
        <w:rPr>
          <w:i/>
          <w:iCs/>
          <w:lang w:eastAsia="zh-CN"/>
        </w:rPr>
        <w:t>servingCellMO</w:t>
      </w:r>
      <w:proofErr w:type="spellEnd"/>
      <w:r w:rsidRPr="004F7DA2">
        <w:rPr>
          <w:lang w:eastAsia="zh-CN"/>
        </w:rPr>
        <w:t xml:space="preserve">, if configured, else the SSB configured in the </w:t>
      </w:r>
      <w:proofErr w:type="spellStart"/>
      <w:r w:rsidRPr="004F7DA2">
        <w:rPr>
          <w:i/>
          <w:iCs/>
          <w:lang w:eastAsia="zh-CN"/>
        </w:rPr>
        <w:t>servingCellMO</w:t>
      </w:r>
      <w:proofErr w:type="spellEnd"/>
    </w:p>
    <w:p w:rsidR="00A0278A" w:rsidRDefault="00A0278A" w:rsidP="00A0278A">
      <w:pPr>
        <w:pStyle w:val="afe"/>
        <w:numPr>
          <w:ilvl w:val="2"/>
          <w:numId w:val="45"/>
        </w:numPr>
        <w:spacing w:beforeLines="0" w:before="120" w:afterLines="0" w:after="120"/>
        <w:contextualSpacing/>
        <w:rPr>
          <w:lang w:eastAsia="zh-CN"/>
        </w:rPr>
      </w:pPr>
      <w:r>
        <w:rPr>
          <w:lang w:eastAsia="zh-CN"/>
        </w:rPr>
        <w:t xml:space="preserve">Option 1b: </w:t>
      </w:r>
      <w:r w:rsidRPr="004F7DA2">
        <w:rPr>
          <w:lang w:eastAsia="zh-CN"/>
        </w:rPr>
        <w:t>The reference SSB of the serving cell is the SSB configured in the</w:t>
      </w:r>
      <w:r>
        <w:rPr>
          <w:lang w:eastAsia="zh-CN"/>
        </w:rPr>
        <w:t xml:space="preserve"> active BWP of the serving cell</w:t>
      </w:r>
    </w:p>
    <w:p w:rsidR="00A0278A" w:rsidRDefault="00A0278A" w:rsidP="00A0278A">
      <w:pPr>
        <w:pStyle w:val="afe"/>
        <w:numPr>
          <w:ilvl w:val="2"/>
          <w:numId w:val="45"/>
        </w:numPr>
        <w:spacing w:beforeLines="0" w:before="120" w:afterLines="0" w:after="120"/>
        <w:contextualSpacing/>
        <w:rPr>
          <w:lang w:eastAsia="zh-CN"/>
        </w:rPr>
      </w:pPr>
      <w:r w:rsidRPr="004F7DA2">
        <w:rPr>
          <w:lang w:eastAsia="zh-CN"/>
        </w:rPr>
        <w:t xml:space="preserve">The reference SSB of the target cell is the SSB configured in the </w:t>
      </w:r>
      <w:proofErr w:type="spellStart"/>
      <w:r w:rsidRPr="004F7DA2">
        <w:rPr>
          <w:i/>
          <w:iCs/>
          <w:lang w:eastAsia="zh-CN"/>
        </w:rPr>
        <w:t>firstActiveBWP</w:t>
      </w:r>
      <w:proofErr w:type="spellEnd"/>
      <w:r w:rsidRPr="004F7DA2">
        <w:rPr>
          <w:i/>
          <w:iCs/>
          <w:lang w:eastAsia="zh-CN"/>
        </w:rPr>
        <w:t xml:space="preserve"> </w:t>
      </w:r>
      <w:r w:rsidRPr="004F7DA2">
        <w:rPr>
          <w:lang w:eastAsia="zh-CN"/>
        </w:rPr>
        <w:t>of the target cell</w:t>
      </w:r>
    </w:p>
    <w:p w:rsidR="00A0278A" w:rsidRDefault="00C150DA" w:rsidP="00CF358E">
      <w:pPr>
        <w:spacing w:before="120" w:afterLines="100" w:after="240"/>
        <w:contextualSpacing/>
        <w:rPr>
          <w:lang w:eastAsia="zh-CN"/>
        </w:rPr>
      </w:pPr>
      <w:r>
        <w:rPr>
          <w:lang w:eastAsia="zh-CN"/>
        </w:rPr>
        <w:t>For this issue, our understanding is similar definition to that of intra-frequency measurement can be used hence we are ok to option 1a.</w:t>
      </w:r>
    </w:p>
    <w:p w:rsidR="00C150DA" w:rsidRPr="00C150DA" w:rsidRDefault="00C150DA" w:rsidP="00C150DA">
      <w:pPr>
        <w:spacing w:beforeLines="0" w:before="120" w:afterLines="0" w:after="120"/>
        <w:contextualSpacing/>
        <w:rPr>
          <w:b/>
          <w:lang w:eastAsia="zh-CN"/>
        </w:rPr>
      </w:pPr>
      <w:r w:rsidRPr="00C150DA">
        <w:rPr>
          <w:b/>
          <w:lang w:eastAsia="zh-CN"/>
        </w:rPr>
        <w:t xml:space="preserve">Proposal 2: Option 1a could be used as the further clarification on handover requirement. </w:t>
      </w:r>
    </w:p>
    <w:p w:rsidR="00C150DA" w:rsidRDefault="00C150DA" w:rsidP="00A0278A">
      <w:pPr>
        <w:spacing w:before="120" w:after="120"/>
        <w:rPr>
          <w:b/>
          <w:color w:val="0070C0"/>
          <w:u w:val="single"/>
          <w:lang w:eastAsia="ko-KR"/>
        </w:rPr>
      </w:pPr>
    </w:p>
    <w:p w:rsidR="00375C60" w:rsidRPr="00375C60" w:rsidRDefault="00375C60" w:rsidP="00375C60">
      <w:pPr>
        <w:spacing w:before="120" w:after="120"/>
        <w:rPr>
          <w:lang w:val="en-US"/>
        </w:rPr>
      </w:pPr>
    </w:p>
    <w:p w:rsidR="00FA0C0C" w:rsidRDefault="00FA0C0C" w:rsidP="00FA0C0C">
      <w:pPr>
        <w:pStyle w:val="1"/>
        <w:jc w:val="both"/>
        <w:rPr>
          <w:lang w:val="en-US"/>
        </w:rPr>
      </w:pPr>
      <w:r>
        <w:rPr>
          <w:lang w:val="en-US"/>
        </w:rPr>
        <w:t>Conclusions</w:t>
      </w:r>
    </w:p>
    <w:p w:rsidR="008552D0" w:rsidRDefault="008552D0" w:rsidP="008552D0">
      <w:pPr>
        <w:overflowPunct w:val="0"/>
        <w:autoSpaceDE w:val="0"/>
        <w:autoSpaceDN w:val="0"/>
        <w:adjustRightInd w:val="0"/>
        <w:spacing w:beforeLines="0" w:before="120" w:afterLines="0" w:after="120"/>
        <w:textAlignment w:val="baseline"/>
        <w:rPr>
          <w:rFonts w:eastAsia="宋体"/>
          <w:lang w:val="en-US" w:eastAsia="zh-CN"/>
        </w:rPr>
      </w:pPr>
      <w:r w:rsidRPr="00AA09C0">
        <w:rPr>
          <w:rFonts w:eastAsia="宋体"/>
          <w:lang w:eastAsia="zh-CN"/>
        </w:rPr>
        <w:t>In</w:t>
      </w:r>
      <w:r>
        <w:rPr>
          <w:rFonts w:eastAsia="宋体"/>
          <w:lang w:eastAsia="zh-CN"/>
        </w:rPr>
        <w:t xml:space="preserve"> this paper we provided </w:t>
      </w:r>
      <w:r w:rsidRPr="00D12E24">
        <w:rPr>
          <w:rFonts w:eastAsia="宋体"/>
          <w:lang w:eastAsia="zh-CN"/>
        </w:rPr>
        <w:t xml:space="preserve">our views </w:t>
      </w:r>
      <w:r>
        <w:rPr>
          <w:rFonts w:eastAsia="宋体"/>
          <w:lang w:eastAsia="zh-CN"/>
        </w:rPr>
        <w:t xml:space="preserve">on </w:t>
      </w:r>
      <w:r>
        <w:rPr>
          <w:rFonts w:eastAsia="宋体"/>
          <w:lang w:val="en-US" w:eastAsia="zh-CN"/>
        </w:rPr>
        <w:t>the question in the LS [1]</w:t>
      </w:r>
      <w:r w:rsidR="008622BE">
        <w:rPr>
          <w:rFonts w:eastAsia="宋体"/>
          <w:lang w:val="en-US" w:eastAsia="zh-CN"/>
        </w:rPr>
        <w:t xml:space="preserve"> and have the following proposal:</w:t>
      </w:r>
    </w:p>
    <w:p w:rsidR="00B1581F" w:rsidRPr="00744094" w:rsidRDefault="00B1581F" w:rsidP="00B1581F">
      <w:pPr>
        <w:snapToGrid w:val="0"/>
        <w:spacing w:beforeLines="0" w:before="120" w:afterLines="0" w:after="240"/>
        <w:contextualSpacing/>
        <w:rPr>
          <w:b/>
          <w:lang w:eastAsia="zh-CN"/>
        </w:rPr>
      </w:pPr>
      <w:r w:rsidRPr="00744094">
        <w:rPr>
          <w:b/>
          <w:lang w:eastAsia="zh-CN"/>
        </w:rPr>
        <w:t>Proposal 1:  Handover to a BWP with unmeasured SSB of a known cell, ok to</w:t>
      </w:r>
      <w:r>
        <w:rPr>
          <w:b/>
          <w:lang w:eastAsia="zh-CN"/>
        </w:rPr>
        <w:t xml:space="preserve"> add the conditions that “</w:t>
      </w:r>
      <w:r w:rsidRPr="00744094">
        <w:rPr>
          <w:b/>
          <w:lang w:eastAsia="zh-CN"/>
        </w:rPr>
        <w:t>UE may assume that the TX power of the SSB of the target cell’s active BWP is same as that of the measured SSBs that belong to the same PCI</w:t>
      </w:r>
      <w:r>
        <w:rPr>
          <w:b/>
          <w:lang w:eastAsia="zh-CN"/>
        </w:rPr>
        <w:t>”.</w:t>
      </w:r>
    </w:p>
    <w:p w:rsidR="00B1581F" w:rsidRPr="00D12E24" w:rsidRDefault="00B1581F" w:rsidP="00B1581F">
      <w:pPr>
        <w:overflowPunct w:val="0"/>
        <w:autoSpaceDE w:val="0"/>
        <w:autoSpaceDN w:val="0"/>
        <w:snapToGrid w:val="0"/>
        <w:spacing w:beforeLines="0" w:before="120" w:afterLines="0" w:after="240"/>
        <w:textAlignment w:val="baseline"/>
        <w:rPr>
          <w:rFonts w:eastAsia="宋体"/>
          <w:lang w:eastAsia="zh-CN"/>
        </w:rPr>
      </w:pPr>
      <w:r w:rsidRPr="00C150DA">
        <w:rPr>
          <w:b/>
          <w:lang w:eastAsia="zh-CN"/>
        </w:rPr>
        <w:t>Proposal 2: Option 1a could be used as the further clarification on handover requirement.</w:t>
      </w:r>
    </w:p>
    <w:p w:rsidR="00FA0C0C" w:rsidRDefault="00FA0C0C" w:rsidP="00FA0C0C">
      <w:pPr>
        <w:pStyle w:val="1"/>
        <w:jc w:val="both"/>
        <w:rPr>
          <w:lang w:val="en-US"/>
        </w:rPr>
      </w:pPr>
      <w:r w:rsidRPr="00C0754F">
        <w:rPr>
          <w:lang w:val="en-US"/>
        </w:rPr>
        <w:t>Reference</w:t>
      </w:r>
    </w:p>
    <w:p w:rsidR="008D220D" w:rsidRPr="000A5536" w:rsidRDefault="00B81A97" w:rsidP="00B81A97">
      <w:pPr>
        <w:spacing w:before="120" w:after="120"/>
        <w:rPr>
          <w:rFonts w:ascii="Arial" w:hAnsi="Arial" w:cs="Arial"/>
          <w:lang w:eastAsia="zh-CN"/>
        </w:rPr>
      </w:pPr>
      <w:r w:rsidRPr="000A5536">
        <w:rPr>
          <w:rFonts w:ascii="Arial" w:hAnsi="Arial" w:cs="Arial"/>
          <w:lang w:eastAsia="zh-CN"/>
        </w:rPr>
        <w:t xml:space="preserve">[1] </w:t>
      </w:r>
      <w:r w:rsidR="000A5536" w:rsidRPr="000A5536">
        <w:rPr>
          <w:rFonts w:ascii="Arial" w:hAnsi="Arial" w:cs="Arial"/>
          <w:lang w:eastAsia="zh-CN"/>
        </w:rPr>
        <w:t>R4-2303264</w:t>
      </w:r>
      <w:r w:rsidRPr="000A5536">
        <w:rPr>
          <w:rFonts w:ascii="Arial" w:hAnsi="Arial" w:cs="Arial"/>
          <w:lang w:eastAsia="zh-CN"/>
        </w:rPr>
        <w:t xml:space="preserve">, </w:t>
      </w:r>
      <w:r w:rsidR="000A5536" w:rsidRPr="00A86EDB">
        <w:rPr>
          <w:rFonts w:ascii="Arial" w:hAnsi="Arial" w:cs="Arial"/>
          <w:lang w:eastAsia="zh-CN"/>
        </w:rPr>
        <w:t xml:space="preserve">WF on R17 </w:t>
      </w:r>
      <w:proofErr w:type="spellStart"/>
      <w:r w:rsidR="000A5536" w:rsidRPr="00A86EDB">
        <w:rPr>
          <w:rFonts w:ascii="Arial" w:hAnsi="Arial" w:cs="Arial"/>
          <w:lang w:eastAsia="zh-CN"/>
        </w:rPr>
        <w:t>RedCap</w:t>
      </w:r>
      <w:proofErr w:type="spellEnd"/>
      <w:r w:rsidR="000A5536" w:rsidRPr="00A86EDB">
        <w:rPr>
          <w:rFonts w:ascii="Arial" w:hAnsi="Arial" w:cs="Arial"/>
          <w:lang w:eastAsia="zh-CN"/>
        </w:rPr>
        <w:t xml:space="preserve"> RRM maintenance</w:t>
      </w:r>
      <w:r w:rsidR="008D220D" w:rsidRPr="000A5536">
        <w:rPr>
          <w:rFonts w:ascii="Arial" w:hAnsi="Arial" w:cs="Arial"/>
          <w:lang w:eastAsia="zh-CN"/>
        </w:rPr>
        <w:t>, RAN</w:t>
      </w:r>
      <w:r w:rsidR="000A5536" w:rsidRPr="000A5536">
        <w:rPr>
          <w:rFonts w:ascii="Arial" w:hAnsi="Arial" w:cs="Arial"/>
          <w:lang w:eastAsia="zh-CN"/>
        </w:rPr>
        <w:t>4</w:t>
      </w:r>
    </w:p>
    <w:sectPr w:rsidR="008D220D" w:rsidRPr="000A553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5683" w:rsidRDefault="00B75683">
      <w:pPr>
        <w:spacing w:before="120" w:after="120"/>
      </w:pPr>
      <w:r>
        <w:separator/>
      </w:r>
    </w:p>
  </w:endnote>
  <w:endnote w:type="continuationSeparator" w:id="0">
    <w:p w:rsidR="00B75683" w:rsidRDefault="00B7568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144515" w:rsidRDefault="00144515">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4515" w:rsidRDefault="00144515">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144515" w:rsidRDefault="0014451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5683" w:rsidRDefault="00B75683">
      <w:pPr>
        <w:spacing w:before="120" w:after="120"/>
      </w:pPr>
      <w:r>
        <w:separator/>
      </w:r>
    </w:p>
  </w:footnote>
  <w:footnote w:type="continuationSeparator" w:id="0">
    <w:p w:rsidR="00B75683" w:rsidRDefault="00B7568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0FDC2CCE"/>
    <w:multiLevelType w:val="hybridMultilevel"/>
    <w:tmpl w:val="7682E52E"/>
    <w:lvl w:ilvl="0" w:tplc="63D2C934">
      <w:start w:val="1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9F6CBB"/>
    <w:multiLevelType w:val="hybridMultilevel"/>
    <w:tmpl w:val="9C3C1E84"/>
    <w:lvl w:ilvl="0" w:tplc="28C6858A">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E00CA3"/>
    <w:multiLevelType w:val="multilevel"/>
    <w:tmpl w:val="31E00CA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3AB576B"/>
    <w:multiLevelType w:val="hybridMultilevel"/>
    <w:tmpl w:val="C38663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5D25774"/>
    <w:multiLevelType w:val="multilevel"/>
    <w:tmpl w:val="45D2577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0" w15:restartNumberingAfterBreak="0">
    <w:nsid w:val="47303F8A"/>
    <w:multiLevelType w:val="hybridMultilevel"/>
    <w:tmpl w:val="D1E02DB4"/>
    <w:lvl w:ilvl="0" w:tplc="1052684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8952782"/>
    <w:multiLevelType w:val="hybridMultilevel"/>
    <w:tmpl w:val="947242FC"/>
    <w:lvl w:ilvl="0" w:tplc="2FCAB1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8A0BCE"/>
    <w:multiLevelType w:val="hybridMultilevel"/>
    <w:tmpl w:val="0EC27F30"/>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start w:val="1"/>
      <w:numFmt w:val="lowerLetter"/>
      <w:lvlText w:val="%5."/>
      <w:lvlJc w:val="left"/>
      <w:pPr>
        <w:ind w:left="3700" w:hanging="360"/>
      </w:pPr>
    </w:lvl>
    <w:lvl w:ilvl="5" w:tplc="0409001B">
      <w:start w:val="1"/>
      <w:numFmt w:val="lowerRoman"/>
      <w:lvlText w:val="%6."/>
      <w:lvlJc w:val="right"/>
      <w:pPr>
        <w:ind w:left="4420" w:hanging="180"/>
      </w:pPr>
    </w:lvl>
    <w:lvl w:ilvl="6" w:tplc="0409000F">
      <w:start w:val="1"/>
      <w:numFmt w:val="decimal"/>
      <w:lvlText w:val="%7."/>
      <w:lvlJc w:val="left"/>
      <w:pPr>
        <w:ind w:left="5140" w:hanging="360"/>
      </w:pPr>
    </w:lvl>
    <w:lvl w:ilvl="7" w:tplc="04090019">
      <w:start w:val="1"/>
      <w:numFmt w:val="lowerLetter"/>
      <w:lvlText w:val="%8."/>
      <w:lvlJc w:val="left"/>
      <w:pPr>
        <w:ind w:left="5860" w:hanging="360"/>
      </w:pPr>
    </w:lvl>
    <w:lvl w:ilvl="8" w:tplc="0409001B">
      <w:start w:val="1"/>
      <w:numFmt w:val="lowerRoman"/>
      <w:lvlText w:val="%9."/>
      <w:lvlJc w:val="right"/>
      <w:pPr>
        <w:ind w:left="6580" w:hanging="180"/>
      </w:p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815DAF"/>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2"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7F1756F5"/>
    <w:multiLevelType w:val="hybridMultilevel"/>
    <w:tmpl w:val="87F43F18"/>
    <w:lvl w:ilvl="0" w:tplc="B98A6BA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33"/>
  </w:num>
  <w:num w:numId="3">
    <w:abstractNumId w:val="40"/>
  </w:num>
  <w:num w:numId="4">
    <w:abstractNumId w:val="10"/>
  </w:num>
  <w:num w:numId="5">
    <w:abstractNumId w:val="17"/>
  </w:num>
  <w:num w:numId="6">
    <w:abstractNumId w:val="31"/>
  </w:num>
  <w:num w:numId="7">
    <w:abstractNumId w:val="21"/>
  </w:num>
  <w:num w:numId="8">
    <w:abstractNumId w:val="41"/>
    <w:lvlOverride w:ilvl="0">
      <w:startOverride w:val="1"/>
    </w:lvlOverride>
  </w:num>
  <w:num w:numId="9">
    <w:abstractNumId w:val="29"/>
  </w:num>
  <w:num w:numId="10">
    <w:abstractNumId w:val="37"/>
  </w:num>
  <w:num w:numId="11">
    <w:abstractNumId w:val="32"/>
  </w:num>
  <w:num w:numId="12">
    <w:abstractNumId w:val="25"/>
  </w:num>
  <w:num w:numId="13">
    <w:abstractNumId w:val="11"/>
  </w:num>
  <w:num w:numId="14">
    <w:abstractNumId w:val="30"/>
  </w:num>
  <w:num w:numId="15">
    <w:abstractNumId w:val="24"/>
  </w:num>
  <w:num w:numId="16">
    <w:abstractNumId w:val="35"/>
  </w:num>
  <w:num w:numId="17">
    <w:abstractNumId w:val="38"/>
  </w:num>
  <w:num w:numId="18">
    <w:abstractNumId w:val="42"/>
  </w:num>
  <w:num w:numId="19">
    <w:abstractNumId w:val="15"/>
  </w:num>
  <w:num w:numId="20">
    <w:abstractNumId w:val="6"/>
  </w:num>
  <w:num w:numId="21">
    <w:abstractNumId w:val="8"/>
  </w:num>
  <w:num w:numId="22">
    <w:abstractNumId w:val="16"/>
  </w:num>
  <w:num w:numId="23">
    <w:abstractNumId w:val="4"/>
  </w:num>
  <w:num w:numId="24">
    <w:abstractNumId w:val="26"/>
  </w:num>
  <w:num w:numId="25">
    <w:abstractNumId w:val="28"/>
  </w:num>
  <w:num w:numId="26">
    <w:abstractNumId w:val="12"/>
  </w:num>
  <w:num w:numId="27">
    <w:abstractNumId w:val="2"/>
  </w:num>
  <w:num w:numId="28">
    <w:abstractNumId w:val="19"/>
  </w:num>
  <w:num w:numId="29">
    <w:abstractNumId w:val="3"/>
  </w:num>
  <w:num w:numId="30">
    <w:abstractNumId w:val="23"/>
  </w:num>
  <w:num w:numId="31">
    <w:abstractNumId w:val="5"/>
  </w:num>
  <w:num w:numId="32">
    <w:abstractNumId w:val="22"/>
  </w:num>
  <w:num w:numId="33">
    <w:abstractNumId w:val="43"/>
  </w:num>
  <w:num w:numId="34">
    <w:abstractNumId w:val="7"/>
  </w:num>
  <w:num w:numId="35">
    <w:abstractNumId w:val="0"/>
  </w:num>
  <w:num w:numId="36">
    <w:abstractNumId w:val="39"/>
  </w:num>
  <w:num w:numId="37">
    <w:abstractNumId w:val="14"/>
  </w:num>
  <w:num w:numId="38">
    <w:abstractNumId w:val="1"/>
  </w:num>
  <w:num w:numId="39">
    <w:abstractNumId w:val="34"/>
  </w:num>
  <w:num w:numId="40">
    <w:abstractNumId w:val="36"/>
  </w:num>
  <w:num w:numId="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4"/>
  </w:num>
  <w:num w:numId="44">
    <w:abstractNumId w:val="20"/>
  </w:num>
  <w:num w:numId="4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992"/>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43"/>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5E6E"/>
    <w:rsid w:val="0003626F"/>
    <w:rsid w:val="0003627C"/>
    <w:rsid w:val="0003639E"/>
    <w:rsid w:val="0003668C"/>
    <w:rsid w:val="000369B1"/>
    <w:rsid w:val="00036F82"/>
    <w:rsid w:val="000375C1"/>
    <w:rsid w:val="000378CF"/>
    <w:rsid w:val="00037B9A"/>
    <w:rsid w:val="000400F5"/>
    <w:rsid w:val="00040107"/>
    <w:rsid w:val="000407FE"/>
    <w:rsid w:val="00040AD7"/>
    <w:rsid w:val="000418AA"/>
    <w:rsid w:val="00041973"/>
    <w:rsid w:val="000419B9"/>
    <w:rsid w:val="000420FB"/>
    <w:rsid w:val="0004262C"/>
    <w:rsid w:val="00043021"/>
    <w:rsid w:val="0004342E"/>
    <w:rsid w:val="00043638"/>
    <w:rsid w:val="0004387F"/>
    <w:rsid w:val="00043D07"/>
    <w:rsid w:val="00043D2E"/>
    <w:rsid w:val="00044053"/>
    <w:rsid w:val="0004411A"/>
    <w:rsid w:val="0004430E"/>
    <w:rsid w:val="00044415"/>
    <w:rsid w:val="00044608"/>
    <w:rsid w:val="000446A4"/>
    <w:rsid w:val="000449C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EEE"/>
    <w:rsid w:val="00052118"/>
    <w:rsid w:val="00052397"/>
    <w:rsid w:val="00052417"/>
    <w:rsid w:val="0005257E"/>
    <w:rsid w:val="00052731"/>
    <w:rsid w:val="00052AF4"/>
    <w:rsid w:val="00052ED4"/>
    <w:rsid w:val="00052F47"/>
    <w:rsid w:val="0005357D"/>
    <w:rsid w:val="000536F3"/>
    <w:rsid w:val="00053700"/>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3A6C"/>
    <w:rsid w:val="00073AC4"/>
    <w:rsid w:val="00073E03"/>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33"/>
    <w:rsid w:val="00076F8C"/>
    <w:rsid w:val="000772B1"/>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9ED"/>
    <w:rsid w:val="00092A6A"/>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36"/>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33"/>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12F"/>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0E4"/>
    <w:rsid w:val="000E1366"/>
    <w:rsid w:val="000E1506"/>
    <w:rsid w:val="000E1B54"/>
    <w:rsid w:val="000E1BEE"/>
    <w:rsid w:val="000E1DD9"/>
    <w:rsid w:val="000E2067"/>
    <w:rsid w:val="000E2303"/>
    <w:rsid w:val="000E2C23"/>
    <w:rsid w:val="000E2ED1"/>
    <w:rsid w:val="000E34CA"/>
    <w:rsid w:val="000E36AD"/>
    <w:rsid w:val="000E3B40"/>
    <w:rsid w:val="000E3C78"/>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8EB"/>
    <w:rsid w:val="001229D0"/>
    <w:rsid w:val="00122A07"/>
    <w:rsid w:val="0012307A"/>
    <w:rsid w:val="001230AE"/>
    <w:rsid w:val="001231EC"/>
    <w:rsid w:val="001239DE"/>
    <w:rsid w:val="00123CD0"/>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0D4E"/>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15"/>
    <w:rsid w:val="001445CF"/>
    <w:rsid w:val="001447B2"/>
    <w:rsid w:val="00144CDA"/>
    <w:rsid w:val="00144CF2"/>
    <w:rsid w:val="001458BF"/>
    <w:rsid w:val="00145C8F"/>
    <w:rsid w:val="00145FA6"/>
    <w:rsid w:val="00146078"/>
    <w:rsid w:val="00146354"/>
    <w:rsid w:val="0014638D"/>
    <w:rsid w:val="00146462"/>
    <w:rsid w:val="00146542"/>
    <w:rsid w:val="00146693"/>
    <w:rsid w:val="0014674E"/>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4E92"/>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7F1"/>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9AF"/>
    <w:rsid w:val="001A3A5D"/>
    <w:rsid w:val="001A3D98"/>
    <w:rsid w:val="001A4702"/>
    <w:rsid w:val="001A49E3"/>
    <w:rsid w:val="001A4C57"/>
    <w:rsid w:val="001A4C98"/>
    <w:rsid w:val="001A4F93"/>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9A"/>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373"/>
    <w:rsid w:val="001C54F3"/>
    <w:rsid w:val="001C5848"/>
    <w:rsid w:val="001C5DB8"/>
    <w:rsid w:val="001C6381"/>
    <w:rsid w:val="001C6B82"/>
    <w:rsid w:val="001C7D88"/>
    <w:rsid w:val="001D04B9"/>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BA"/>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7D9"/>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7CE"/>
    <w:rsid w:val="00237BAA"/>
    <w:rsid w:val="00237D5C"/>
    <w:rsid w:val="00237E42"/>
    <w:rsid w:val="002401F7"/>
    <w:rsid w:val="0024085D"/>
    <w:rsid w:val="00240A71"/>
    <w:rsid w:val="00241607"/>
    <w:rsid w:val="0024192C"/>
    <w:rsid w:val="00241CD0"/>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6DD2"/>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3BD"/>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DDC"/>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22"/>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AF"/>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AB"/>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BDB"/>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5C60"/>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2FD6"/>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D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C18"/>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DB1"/>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E71"/>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6F61"/>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856"/>
    <w:rsid w:val="003E3A86"/>
    <w:rsid w:val="003E45C4"/>
    <w:rsid w:val="003E4A2C"/>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1EBC"/>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0C97"/>
    <w:rsid w:val="004311B5"/>
    <w:rsid w:val="0043146B"/>
    <w:rsid w:val="00431DD6"/>
    <w:rsid w:val="00432077"/>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571"/>
    <w:rsid w:val="00436C2E"/>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2"/>
    <w:rsid w:val="00456226"/>
    <w:rsid w:val="00456562"/>
    <w:rsid w:val="00456960"/>
    <w:rsid w:val="00457444"/>
    <w:rsid w:val="004576FE"/>
    <w:rsid w:val="00457E61"/>
    <w:rsid w:val="00457EE2"/>
    <w:rsid w:val="00460362"/>
    <w:rsid w:val="004603CE"/>
    <w:rsid w:val="0046050D"/>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DEF"/>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7C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0FC"/>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86D"/>
    <w:rsid w:val="0048592F"/>
    <w:rsid w:val="00485D7D"/>
    <w:rsid w:val="00486067"/>
    <w:rsid w:val="004860E2"/>
    <w:rsid w:val="00486710"/>
    <w:rsid w:val="00486A04"/>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835"/>
    <w:rsid w:val="004B7E96"/>
    <w:rsid w:val="004C0260"/>
    <w:rsid w:val="004C044D"/>
    <w:rsid w:val="004C0B18"/>
    <w:rsid w:val="004C0D02"/>
    <w:rsid w:val="004C0F8B"/>
    <w:rsid w:val="004C1051"/>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4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665"/>
    <w:rsid w:val="004E766A"/>
    <w:rsid w:val="004E782E"/>
    <w:rsid w:val="004E78C8"/>
    <w:rsid w:val="004E7BB7"/>
    <w:rsid w:val="004F0299"/>
    <w:rsid w:val="004F05EC"/>
    <w:rsid w:val="004F05FD"/>
    <w:rsid w:val="004F0733"/>
    <w:rsid w:val="004F0829"/>
    <w:rsid w:val="004F09EB"/>
    <w:rsid w:val="004F0A6E"/>
    <w:rsid w:val="004F0EDA"/>
    <w:rsid w:val="004F1B9D"/>
    <w:rsid w:val="004F1DD8"/>
    <w:rsid w:val="004F26FA"/>
    <w:rsid w:val="004F2825"/>
    <w:rsid w:val="004F2B50"/>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B00"/>
    <w:rsid w:val="00507B81"/>
    <w:rsid w:val="00507B9C"/>
    <w:rsid w:val="00507BDC"/>
    <w:rsid w:val="00507C22"/>
    <w:rsid w:val="00511476"/>
    <w:rsid w:val="00511C2E"/>
    <w:rsid w:val="005123AF"/>
    <w:rsid w:val="005124F4"/>
    <w:rsid w:val="00512C8D"/>
    <w:rsid w:val="00512E17"/>
    <w:rsid w:val="00513169"/>
    <w:rsid w:val="005134B2"/>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3D1"/>
    <w:rsid w:val="0053160A"/>
    <w:rsid w:val="00531CFB"/>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E97"/>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913"/>
    <w:rsid w:val="00580A0B"/>
    <w:rsid w:val="00580CB9"/>
    <w:rsid w:val="00581685"/>
    <w:rsid w:val="00581768"/>
    <w:rsid w:val="005821F6"/>
    <w:rsid w:val="005825F2"/>
    <w:rsid w:val="005827A2"/>
    <w:rsid w:val="005829E3"/>
    <w:rsid w:val="00582D6A"/>
    <w:rsid w:val="00583019"/>
    <w:rsid w:val="005832A4"/>
    <w:rsid w:val="0058338F"/>
    <w:rsid w:val="005833CD"/>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C82"/>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393"/>
    <w:rsid w:val="005E1746"/>
    <w:rsid w:val="005E19B4"/>
    <w:rsid w:val="005E19CD"/>
    <w:rsid w:val="005E1EE7"/>
    <w:rsid w:val="005E304A"/>
    <w:rsid w:val="005E3C68"/>
    <w:rsid w:val="005E3D67"/>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4C4"/>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38D"/>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107"/>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185"/>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043"/>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C2"/>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8F6"/>
    <w:rsid w:val="0066603D"/>
    <w:rsid w:val="00666197"/>
    <w:rsid w:val="00666343"/>
    <w:rsid w:val="00666596"/>
    <w:rsid w:val="006665DD"/>
    <w:rsid w:val="00666898"/>
    <w:rsid w:val="00666DA5"/>
    <w:rsid w:val="00666E0F"/>
    <w:rsid w:val="00666F77"/>
    <w:rsid w:val="0066705C"/>
    <w:rsid w:val="006673D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821"/>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AF"/>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234"/>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505"/>
    <w:rsid w:val="006B1C59"/>
    <w:rsid w:val="006B1D78"/>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CF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86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6F1"/>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09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3AE"/>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9C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7A9"/>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3B3"/>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5CA"/>
    <w:rsid w:val="007A065B"/>
    <w:rsid w:val="007A0C35"/>
    <w:rsid w:val="007A201E"/>
    <w:rsid w:val="007A2462"/>
    <w:rsid w:val="007A2A21"/>
    <w:rsid w:val="007A2A6E"/>
    <w:rsid w:val="007A323B"/>
    <w:rsid w:val="007A393B"/>
    <w:rsid w:val="007A3D05"/>
    <w:rsid w:val="007A3EEE"/>
    <w:rsid w:val="007A4193"/>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7E5"/>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79"/>
    <w:rsid w:val="008040C1"/>
    <w:rsid w:val="0080411B"/>
    <w:rsid w:val="00804516"/>
    <w:rsid w:val="0080456E"/>
    <w:rsid w:val="00804E44"/>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91D"/>
    <w:rsid w:val="00810B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39D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CEE"/>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854"/>
    <w:rsid w:val="00844D40"/>
    <w:rsid w:val="00844D94"/>
    <w:rsid w:val="008455F4"/>
    <w:rsid w:val="00845AD7"/>
    <w:rsid w:val="00845B5F"/>
    <w:rsid w:val="00845F8A"/>
    <w:rsid w:val="00846244"/>
    <w:rsid w:val="0084627F"/>
    <w:rsid w:val="008464AA"/>
    <w:rsid w:val="0084692C"/>
    <w:rsid w:val="00846992"/>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2D0"/>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2BE"/>
    <w:rsid w:val="00862E40"/>
    <w:rsid w:val="008632C0"/>
    <w:rsid w:val="00863493"/>
    <w:rsid w:val="00863B2A"/>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84F"/>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20D"/>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F6F"/>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0AA"/>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7C3"/>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39E"/>
    <w:rsid w:val="00947589"/>
    <w:rsid w:val="00947CE3"/>
    <w:rsid w:val="00947D28"/>
    <w:rsid w:val="00947E7C"/>
    <w:rsid w:val="0095030A"/>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223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21E"/>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0D8"/>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8A"/>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A19"/>
    <w:rsid w:val="00A15A7E"/>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A90"/>
    <w:rsid w:val="00A35DAF"/>
    <w:rsid w:val="00A35EE6"/>
    <w:rsid w:val="00A35FD2"/>
    <w:rsid w:val="00A365C4"/>
    <w:rsid w:val="00A36601"/>
    <w:rsid w:val="00A36725"/>
    <w:rsid w:val="00A36D0C"/>
    <w:rsid w:val="00A36FC4"/>
    <w:rsid w:val="00A37AB7"/>
    <w:rsid w:val="00A37E38"/>
    <w:rsid w:val="00A4008E"/>
    <w:rsid w:val="00A402A3"/>
    <w:rsid w:val="00A405E4"/>
    <w:rsid w:val="00A4061C"/>
    <w:rsid w:val="00A40A95"/>
    <w:rsid w:val="00A40C32"/>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C2B"/>
    <w:rsid w:val="00A66D94"/>
    <w:rsid w:val="00A67059"/>
    <w:rsid w:val="00A676EC"/>
    <w:rsid w:val="00A67DDE"/>
    <w:rsid w:val="00A67F8B"/>
    <w:rsid w:val="00A704FC"/>
    <w:rsid w:val="00A70A64"/>
    <w:rsid w:val="00A71260"/>
    <w:rsid w:val="00A71487"/>
    <w:rsid w:val="00A71843"/>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0C0"/>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AC5"/>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AF5"/>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1F"/>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683"/>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A97"/>
    <w:rsid w:val="00B81DC4"/>
    <w:rsid w:val="00B81FC0"/>
    <w:rsid w:val="00B81FFC"/>
    <w:rsid w:val="00B82163"/>
    <w:rsid w:val="00B82171"/>
    <w:rsid w:val="00B824FA"/>
    <w:rsid w:val="00B82B78"/>
    <w:rsid w:val="00B82F31"/>
    <w:rsid w:val="00B8319B"/>
    <w:rsid w:val="00B83318"/>
    <w:rsid w:val="00B837E3"/>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2B5A"/>
    <w:rsid w:val="00BB34E4"/>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D78"/>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4FB"/>
    <w:rsid w:val="00BC558A"/>
    <w:rsid w:val="00BC5A1D"/>
    <w:rsid w:val="00BC5B9A"/>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3F4F"/>
    <w:rsid w:val="00BD4537"/>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733"/>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1DC3"/>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0DA"/>
    <w:rsid w:val="00C15D84"/>
    <w:rsid w:val="00C16491"/>
    <w:rsid w:val="00C165C8"/>
    <w:rsid w:val="00C16AF2"/>
    <w:rsid w:val="00C17302"/>
    <w:rsid w:val="00C1751B"/>
    <w:rsid w:val="00C175EC"/>
    <w:rsid w:val="00C17695"/>
    <w:rsid w:val="00C20052"/>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947"/>
    <w:rsid w:val="00C25B19"/>
    <w:rsid w:val="00C25F63"/>
    <w:rsid w:val="00C26169"/>
    <w:rsid w:val="00C26474"/>
    <w:rsid w:val="00C26802"/>
    <w:rsid w:val="00C26ED5"/>
    <w:rsid w:val="00C273E7"/>
    <w:rsid w:val="00C2755A"/>
    <w:rsid w:val="00C275CC"/>
    <w:rsid w:val="00C27631"/>
    <w:rsid w:val="00C27668"/>
    <w:rsid w:val="00C2788B"/>
    <w:rsid w:val="00C278D5"/>
    <w:rsid w:val="00C27D90"/>
    <w:rsid w:val="00C27F21"/>
    <w:rsid w:val="00C30307"/>
    <w:rsid w:val="00C30842"/>
    <w:rsid w:val="00C3084E"/>
    <w:rsid w:val="00C31031"/>
    <w:rsid w:val="00C31975"/>
    <w:rsid w:val="00C319D0"/>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3FA8"/>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7B0"/>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6CC"/>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8BF"/>
    <w:rsid w:val="00CB68CB"/>
    <w:rsid w:val="00CB6B5B"/>
    <w:rsid w:val="00CB6CB3"/>
    <w:rsid w:val="00CB6D87"/>
    <w:rsid w:val="00CB7139"/>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58E"/>
    <w:rsid w:val="00CF39FD"/>
    <w:rsid w:val="00CF3CB9"/>
    <w:rsid w:val="00CF3FF9"/>
    <w:rsid w:val="00CF4868"/>
    <w:rsid w:val="00CF49A0"/>
    <w:rsid w:val="00CF55D5"/>
    <w:rsid w:val="00CF634B"/>
    <w:rsid w:val="00CF6A3E"/>
    <w:rsid w:val="00CF76ED"/>
    <w:rsid w:val="00CF7D47"/>
    <w:rsid w:val="00CF7D73"/>
    <w:rsid w:val="00D001BE"/>
    <w:rsid w:val="00D00E24"/>
    <w:rsid w:val="00D0163C"/>
    <w:rsid w:val="00D0196D"/>
    <w:rsid w:val="00D01BAA"/>
    <w:rsid w:val="00D02055"/>
    <w:rsid w:val="00D02069"/>
    <w:rsid w:val="00D02112"/>
    <w:rsid w:val="00D02B0E"/>
    <w:rsid w:val="00D02E74"/>
    <w:rsid w:val="00D03100"/>
    <w:rsid w:val="00D03393"/>
    <w:rsid w:val="00D03435"/>
    <w:rsid w:val="00D03913"/>
    <w:rsid w:val="00D03A81"/>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5C"/>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0FC8"/>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4"/>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9C2"/>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205"/>
    <w:rsid w:val="00D715F9"/>
    <w:rsid w:val="00D717A6"/>
    <w:rsid w:val="00D71E18"/>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FC"/>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E4B"/>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27"/>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0F9"/>
    <w:rsid w:val="00E2017B"/>
    <w:rsid w:val="00E205D1"/>
    <w:rsid w:val="00E206FD"/>
    <w:rsid w:val="00E20C45"/>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4F2"/>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0AB"/>
    <w:rsid w:val="00E4693E"/>
    <w:rsid w:val="00E46FF1"/>
    <w:rsid w:val="00E4774B"/>
    <w:rsid w:val="00E47F00"/>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56DE"/>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2C5D"/>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A54"/>
    <w:rsid w:val="00E80DA3"/>
    <w:rsid w:val="00E811C8"/>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31"/>
    <w:rsid w:val="00EA68AB"/>
    <w:rsid w:val="00EA6D1C"/>
    <w:rsid w:val="00EA6D4D"/>
    <w:rsid w:val="00EA7464"/>
    <w:rsid w:val="00EA749D"/>
    <w:rsid w:val="00EA769D"/>
    <w:rsid w:val="00EA7A8B"/>
    <w:rsid w:val="00EA7E41"/>
    <w:rsid w:val="00EB0278"/>
    <w:rsid w:val="00EB073A"/>
    <w:rsid w:val="00EB0968"/>
    <w:rsid w:val="00EB0D05"/>
    <w:rsid w:val="00EB0F76"/>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4A"/>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187"/>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04C"/>
    <w:rsid w:val="00F622A9"/>
    <w:rsid w:val="00F627E9"/>
    <w:rsid w:val="00F62897"/>
    <w:rsid w:val="00F62B53"/>
    <w:rsid w:val="00F62C86"/>
    <w:rsid w:val="00F62CBF"/>
    <w:rsid w:val="00F64123"/>
    <w:rsid w:val="00F64146"/>
    <w:rsid w:val="00F64AE1"/>
    <w:rsid w:val="00F65E05"/>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BB"/>
    <w:rsid w:val="00F81833"/>
    <w:rsid w:val="00F81D31"/>
    <w:rsid w:val="00F82438"/>
    <w:rsid w:val="00F8245B"/>
    <w:rsid w:val="00F82725"/>
    <w:rsid w:val="00F82CFA"/>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2C"/>
    <w:rsid w:val="00FB4271"/>
    <w:rsid w:val="00FB427D"/>
    <w:rsid w:val="00FB43EB"/>
    <w:rsid w:val="00FB4B3C"/>
    <w:rsid w:val="00FB51A5"/>
    <w:rsid w:val="00FB56A5"/>
    <w:rsid w:val="00FB57B3"/>
    <w:rsid w:val="00FB59E4"/>
    <w:rsid w:val="00FB5F4F"/>
    <w:rsid w:val="00FB633A"/>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489"/>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E90"/>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6E"/>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 w:val="00FF7F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uiPriority w:val="99"/>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
    <w:link w:val="CommentsChar"/>
    <w:qFormat/>
    <w:rsid w:val="003E4A2C"/>
    <w:pPr>
      <w:overflowPunct w:val="0"/>
      <w:autoSpaceDE w:val="0"/>
      <w:autoSpaceDN w:val="0"/>
      <w:adjustRightInd w:val="0"/>
      <w:spacing w:beforeLines="0" w:before="40" w:afterLines="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E4A2C"/>
    <w:rPr>
      <w:rFonts w:ascii="Arial" w:eastAsia="Times New Roman" w:hAnsi="Arial"/>
      <w:i/>
      <w:noProof/>
      <w:sz w:val="18"/>
      <w:lang w:val="en-GB" w:eastAsia="ja-JP"/>
    </w:rPr>
  </w:style>
  <w:style w:type="character" w:customStyle="1" w:styleId="B3Char">
    <w:name w:val="B3 Char"/>
    <w:link w:val="B3"/>
    <w:qFormat/>
    <w:locked/>
    <w:rsid w:val="00E460A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7944046">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59433271">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B8CE4510-AA09-4BF2-8CFF-1241ED8F6B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59480</TotalTime>
  <Pages>2</Pages>
  <Words>616</Words>
  <Characters>3517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xusheng.wei@vivo.com</dc:creator>
  <cp:keywords/>
  <dc:description/>
  <cp:lastModifiedBy>Xusheng Wei</cp:lastModifiedBy>
  <cp:revision>318</cp:revision>
  <cp:lastPrinted>2009-04-22T06:01:00Z</cp:lastPrinted>
  <dcterms:created xsi:type="dcterms:W3CDTF">2020-07-07T06:33:00Z</dcterms:created>
  <dcterms:modified xsi:type="dcterms:W3CDTF">2023-05-15T10:45:00Z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(3)A1ozxH5J8Y4C449b+ja+q9JR0+XVJ80JmZeOmDvZhSunkJvHwIhanapx0r2WM6riUOudHfQ7
FAC05Ry/YrcaaAFhkx3bvIpmkslRVDASf5jtNbpqZbEcjYRXVb/fjQln/5bRPb7Vzmh2/K5y
+Co2VQTIkY/NukVwn9eVfnCWiV8mzXsIZHqJCT9k8Ij15YpFUfcqwklxDa3qcjHZnDUcB4hH
6G2lYAU2rzcuLwunxc</vt:lpwstr>
  </property>
  <property fmtid="{D5CDD505-2E9C-101B-9397-08002B2CF9AE}" pid="17" name="_2015_ms_pID_725343_00">
    <vt:lpwstr>_2015_ms_pID_725343</vt:lpwstr>
  </property>
  <property fmtid="{D5CDD505-2E9C-101B-9397-08002B2CF9AE}" pid="18" name="_2015_ms_pID_7253431">
    <vt:lpwstr>5S16tKDvRCStQXkB+2WoBUM4Q42Qy2v7KJoYuatmRGO7Efl7cTxl8O
HDEtMVmZqmDp30taIAve4wAAHl55ZhvGv7kxUlG9r3E2OZta8jEubFNyn1zHgTiScFlcYiYw
aFEPBuF4EIGX+VAvbk1XICkr8PcQU7z7LZQqNx7X9H3BAeNCTT7/N+j9m89kqkjRppry6tU1
ItQ+KEPYZxQ5LzSx8RE8rV0Va+46ZYhBPkSB</vt:lpwstr>
  </property>
  <property fmtid="{D5CDD505-2E9C-101B-9397-08002B2CF9AE}" pid="19" name="_2015_ms_pID_7253431_00">
    <vt:lpwstr>_2015_ms_pID_7253431</vt:lpwstr>
  </property>
  <property fmtid="{D5CDD505-2E9C-101B-9397-08002B2CF9AE}" pid="20" name="_2015_ms_pID_7253432">
    <vt:lpwstr>TtSN872rzv+qu1DThUz6LEott+QlSZ2+zmCv
L3qWteMc7l/jEGKEbiWEhTMHKAJP9Y00QvvWAufaAwiwYureNYo=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